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6C47ABAD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jc w:val="center"/>
        <w:rPr>
          <w:rFonts w:ascii="Tahoma" w:hAnsi="Tahoma" w:cs="Tahoma"/>
          <w:b/>
          <w:sz w:val="28"/>
          <w:lang w:eastAsia="cs-CZ"/>
        </w:rPr>
      </w:pPr>
      <w:r w:rsidRPr="00D8260D">
        <w:rPr>
          <w:rFonts w:ascii="Tahoma" w:hAnsi="Tahoma" w:cs="Tahoma"/>
          <w:b/>
          <w:sz w:val="28"/>
        </w:rPr>
        <w:t xml:space="preserve">PŘÍLOHA Č. </w:t>
      </w:r>
      <w:r w:rsidR="0058174F">
        <w:rPr>
          <w:rFonts w:ascii="Tahoma" w:hAnsi="Tahoma" w:cs="Tahoma"/>
          <w:b/>
          <w:sz w:val="28"/>
        </w:rPr>
        <w:t>2</w:t>
      </w:r>
      <w:r w:rsidRPr="00D8260D">
        <w:rPr>
          <w:rFonts w:ascii="Tahoma" w:hAnsi="Tahoma" w:cs="Tahoma"/>
          <w:b/>
          <w:sz w:val="28"/>
        </w:rPr>
        <w:t xml:space="preserve"> KVALIFIKAČNÍ DOKUMENTACE</w:t>
      </w:r>
    </w:p>
    <w:p w14:paraId="4A4B127B" w14:textId="2080FB37" w:rsidR="002512C7" w:rsidRPr="00D8260D" w:rsidRDefault="00D639A8" w:rsidP="00DB4838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600"/>
        <w:jc w:val="center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b/>
          <w:sz w:val="28"/>
          <w:lang w:eastAsia="cs-CZ"/>
        </w:rPr>
        <w:t xml:space="preserve">PŘEDLOHA ČESTNÉHO PROHLÁŠENÍ O </w:t>
      </w:r>
      <w:r w:rsidR="00C43005">
        <w:rPr>
          <w:rFonts w:ascii="Tahoma" w:hAnsi="Tahoma" w:cs="Tahoma"/>
          <w:b/>
          <w:sz w:val="28"/>
          <w:lang w:eastAsia="cs-CZ"/>
        </w:rPr>
        <w:t xml:space="preserve">NEEXISTENCI </w:t>
      </w:r>
      <w:r w:rsidR="006A2B9B">
        <w:rPr>
          <w:rFonts w:ascii="Tahoma" w:hAnsi="Tahoma" w:cs="Tahoma"/>
          <w:b/>
          <w:sz w:val="28"/>
          <w:lang w:eastAsia="cs-CZ"/>
        </w:rPr>
        <w:t>STŘETU ZÁJMŮ, ZÁKAZU ZADÁNÍ VZ A NEPOVOLENÝCH SUBVENCÍ</w:t>
      </w:r>
    </w:p>
    <w:p w14:paraId="4A4B127C" w14:textId="307959B4" w:rsidR="004576F9" w:rsidRPr="008C27A2" w:rsidRDefault="00D639A8" w:rsidP="004576F9">
      <w:pPr>
        <w:pStyle w:val="2nesltext"/>
        <w:spacing w:before="240"/>
        <w:jc w:val="center"/>
        <w:rPr>
          <w:rFonts w:ascii="Tahoma" w:hAnsi="Tahoma" w:cs="Tahoma"/>
          <w:u w:val="single" w:color="00B0F0"/>
          <w:lang w:eastAsia="cs-CZ"/>
        </w:rPr>
      </w:pPr>
      <w:r w:rsidRPr="008C27A2">
        <w:rPr>
          <w:rFonts w:ascii="Tahoma" w:hAnsi="Tahoma" w:cs="Tahoma"/>
          <w:b/>
          <w:sz w:val="28"/>
          <w:u w:val="single" w:color="00B0F0"/>
          <w:lang w:eastAsia="cs-CZ"/>
        </w:rPr>
        <w:t>ČESTNÉ PROHLÁŠENÍ O ZÁKLADNÍ ZPŮSOBILOSTI</w:t>
      </w:r>
    </w:p>
    <w:p w14:paraId="36A43FE3" w14:textId="77777777" w:rsidR="00B2212E" w:rsidRPr="00D8260D" w:rsidRDefault="00B2212E" w:rsidP="002512C7">
      <w:pPr>
        <w:pStyle w:val="2nesltext"/>
        <w:rPr>
          <w:rFonts w:ascii="Tahoma" w:hAnsi="Tahoma" w:cs="Tahoma"/>
          <w:lang w:eastAsia="cs-CZ"/>
        </w:rPr>
      </w:pPr>
    </w:p>
    <w:p w14:paraId="4A4B127D" w14:textId="33EFD068" w:rsidR="002512C7" w:rsidRPr="00D8260D" w:rsidRDefault="002512C7" w:rsidP="002512C7">
      <w:pPr>
        <w:pStyle w:val="2nesltext"/>
        <w:rPr>
          <w:rFonts w:ascii="Tahoma" w:hAnsi="Tahoma" w:cs="Tahoma"/>
          <w:lang w:eastAsia="cs-CZ"/>
        </w:rPr>
      </w:pPr>
      <w:r w:rsidRPr="00D8260D">
        <w:rPr>
          <w:rFonts w:ascii="Tahoma" w:hAnsi="Tahoma" w:cs="Tahoma"/>
          <w:lang w:eastAsia="cs-CZ"/>
        </w:rPr>
        <w:t xml:space="preserve">Dodavatel </w: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 xml:space="preserve">, IČO: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se sídlem</w:t>
      </w:r>
      <w:r w:rsidR="00D4318E" w:rsidRPr="00D8260D">
        <w:rPr>
          <w:rFonts w:ascii="Tahoma" w:hAnsi="Tahoma" w:cs="Tahoma"/>
          <w:lang w:eastAsia="cs-CZ"/>
        </w:rPr>
        <w:t>:</w:t>
      </w:r>
      <w:r w:rsidRPr="00D8260D">
        <w:rPr>
          <w:rFonts w:ascii="Tahoma" w:hAnsi="Tahoma" w:cs="Tahoma"/>
          <w:lang w:eastAsia="cs-CZ"/>
        </w:rPr>
        <w:t xml:space="preserve"> 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Pr="00D8260D">
        <w:rPr>
          <w:rFonts w:ascii="Tahoma" w:hAnsi="Tahoma" w:cs="Tahoma"/>
          <w:lang w:eastAsia="cs-CZ"/>
        </w:rPr>
        <w:t>, PSČ </w: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begin"/>
      </w:r>
      <w:r w:rsidRPr="00D8260D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="00FF1E92" w:rsidRPr="00D8260D">
        <w:rPr>
          <w:rFonts w:ascii="Tahoma" w:hAnsi="Tahoma" w:cs="Tahoma"/>
          <w:highlight w:val="yellow"/>
          <w:lang w:eastAsia="cs-CZ"/>
        </w:rPr>
        <w:fldChar w:fldCharType="end"/>
      </w:r>
      <w:r w:rsidR="0002066F" w:rsidRPr="00D8260D">
        <w:rPr>
          <w:rFonts w:ascii="Tahoma" w:hAnsi="Tahoma" w:cs="Tahoma"/>
          <w:lang w:eastAsia="cs-CZ"/>
        </w:rPr>
        <w:t>,</w:t>
      </w:r>
      <w:r w:rsidRPr="00D8260D">
        <w:rPr>
          <w:rFonts w:ascii="Tahoma" w:hAnsi="Tahoma" w:cs="Tahoma"/>
          <w:lang w:eastAsia="cs-CZ"/>
        </w:rPr>
        <w:t xml:space="preserve"> (dále jen „</w:t>
      </w:r>
      <w:r w:rsidRPr="00D8260D">
        <w:rPr>
          <w:rFonts w:ascii="Tahoma" w:hAnsi="Tahoma" w:cs="Tahoma"/>
          <w:b/>
          <w:i/>
          <w:lang w:eastAsia="cs-CZ"/>
        </w:rPr>
        <w:t>dodavatel</w:t>
      </w:r>
      <w:r w:rsidRPr="00D8260D">
        <w:rPr>
          <w:rFonts w:ascii="Tahoma" w:hAnsi="Tahoma" w:cs="Tahoma"/>
          <w:lang w:eastAsia="cs-CZ"/>
        </w:rPr>
        <w:t xml:space="preserve">“), </w:t>
      </w:r>
      <w:r w:rsidR="008014CD" w:rsidRPr="00D8260D">
        <w:rPr>
          <w:rFonts w:ascii="Tahoma" w:hAnsi="Tahoma" w:cs="Tahoma"/>
          <w:lang w:eastAsia="cs-CZ"/>
        </w:rPr>
        <w:t xml:space="preserve">jako </w:t>
      </w:r>
      <w:bookmarkStart w:id="0" w:name="_Hlk94736114"/>
      <w:r w:rsidR="008014CD" w:rsidRPr="00D8260D">
        <w:rPr>
          <w:rFonts w:ascii="Tahoma" w:hAnsi="Tahoma" w:cs="Tahoma"/>
          <w:lang w:eastAsia="cs-CZ"/>
        </w:rPr>
        <w:t xml:space="preserve">účastník zadávacího řízení </w:t>
      </w:r>
      <w:r w:rsidR="00D8260D">
        <w:rPr>
          <w:rFonts w:ascii="Tahoma" w:hAnsi="Tahoma" w:cs="Tahoma"/>
          <w:lang w:eastAsia="cs-CZ"/>
        </w:rPr>
        <w:t>na zavedení dynamického nákupního systému</w:t>
      </w:r>
      <w:r w:rsidR="008014CD" w:rsidRPr="00D8260D">
        <w:rPr>
          <w:rFonts w:ascii="Tahoma" w:hAnsi="Tahoma" w:cs="Tahoma"/>
          <w:lang w:eastAsia="cs-CZ"/>
        </w:rPr>
        <w:t xml:space="preserve"> s </w:t>
      </w:r>
      <w:r w:rsidR="008014CD" w:rsidRPr="009630D4">
        <w:rPr>
          <w:rFonts w:ascii="Tahoma" w:hAnsi="Tahoma" w:cs="Tahoma"/>
          <w:lang w:eastAsia="cs-CZ"/>
        </w:rPr>
        <w:t xml:space="preserve">názvem </w:t>
      </w:r>
      <w:r w:rsidR="00D8260D" w:rsidRPr="009630D4">
        <w:rPr>
          <w:rFonts w:ascii="Tahoma" w:hAnsi="Tahoma" w:cs="Tahoma"/>
        </w:rPr>
        <w:t>„</w:t>
      </w:r>
      <w:r w:rsidR="00D8260D" w:rsidRPr="009630D4">
        <w:rPr>
          <w:rFonts w:ascii="Tahoma" w:hAnsi="Tahoma" w:cs="Tahoma"/>
          <w:b/>
          <w:lang w:bidi="en-US"/>
        </w:rPr>
        <w:t xml:space="preserve">Dynamický nákupní systém </w:t>
      </w:r>
      <w:r w:rsidR="009630D4" w:rsidRPr="009630D4">
        <w:rPr>
          <w:rFonts w:ascii="Tahoma" w:hAnsi="Tahoma" w:cs="Tahoma"/>
          <w:b/>
          <w:lang w:bidi="en-US"/>
        </w:rPr>
        <w:t>–</w:t>
      </w:r>
      <w:r w:rsidR="00D8260D" w:rsidRPr="009630D4">
        <w:rPr>
          <w:rFonts w:ascii="Tahoma" w:hAnsi="Tahoma" w:cs="Tahoma"/>
          <w:b/>
          <w:lang w:bidi="en-US"/>
        </w:rPr>
        <w:t xml:space="preserve"> </w:t>
      </w:r>
      <w:r w:rsidR="009630D4" w:rsidRPr="009630D4">
        <w:rPr>
          <w:rFonts w:ascii="Tahoma" w:hAnsi="Tahoma" w:cs="Tahoma"/>
          <w:b/>
          <w:lang w:bidi="en-US"/>
        </w:rPr>
        <w:t>Dodávky dříví</w:t>
      </w:r>
      <w:r w:rsidR="00D8260D" w:rsidRPr="009630D4">
        <w:rPr>
          <w:rFonts w:ascii="Tahoma" w:hAnsi="Tahoma" w:cs="Tahoma"/>
          <w:b/>
          <w:lang w:bidi="en-US"/>
        </w:rPr>
        <w:t xml:space="preserve"> pro LMB 202</w:t>
      </w:r>
      <w:r w:rsidR="009630D4" w:rsidRPr="009630D4">
        <w:rPr>
          <w:rFonts w:ascii="Tahoma" w:hAnsi="Tahoma" w:cs="Tahoma"/>
          <w:b/>
          <w:lang w:bidi="en-US"/>
        </w:rPr>
        <w:t>5</w:t>
      </w:r>
      <w:r w:rsidR="00D8260D" w:rsidRPr="009630D4">
        <w:rPr>
          <w:rFonts w:ascii="Tahoma" w:hAnsi="Tahoma" w:cs="Tahoma"/>
          <w:b/>
          <w:lang w:bidi="en-US"/>
        </w:rPr>
        <w:t xml:space="preserve"> -</w:t>
      </w:r>
      <w:r w:rsidR="009630D4">
        <w:rPr>
          <w:rFonts w:ascii="Tahoma" w:hAnsi="Tahoma" w:cs="Tahoma"/>
          <w:b/>
          <w:lang w:bidi="en-US"/>
        </w:rPr>
        <w:t xml:space="preserve"> </w:t>
      </w:r>
      <w:r w:rsidR="00D8260D" w:rsidRPr="009630D4">
        <w:rPr>
          <w:rFonts w:ascii="Tahoma" w:hAnsi="Tahoma" w:cs="Tahoma"/>
          <w:b/>
          <w:lang w:bidi="en-US"/>
        </w:rPr>
        <w:t>20</w:t>
      </w:r>
      <w:bookmarkEnd w:id="0"/>
      <w:r w:rsidR="009630D4" w:rsidRPr="009630D4">
        <w:rPr>
          <w:rFonts w:ascii="Tahoma" w:hAnsi="Tahoma" w:cs="Tahoma"/>
          <w:b/>
          <w:lang w:bidi="en-US"/>
        </w:rPr>
        <w:t>3</w:t>
      </w:r>
      <w:r w:rsidR="005429C1">
        <w:rPr>
          <w:rFonts w:ascii="Tahoma" w:hAnsi="Tahoma" w:cs="Tahoma"/>
          <w:b/>
          <w:lang w:bidi="en-US"/>
        </w:rPr>
        <w:t>5</w:t>
      </w:r>
      <w:r w:rsidR="00D8260D" w:rsidRPr="009630D4">
        <w:rPr>
          <w:rFonts w:ascii="Tahoma" w:hAnsi="Tahoma" w:cs="Tahoma"/>
          <w:bCs/>
          <w:lang w:bidi="en-US"/>
        </w:rPr>
        <w:t>“</w:t>
      </w:r>
      <w:r w:rsidRPr="009630D4">
        <w:rPr>
          <w:rFonts w:ascii="Tahoma" w:hAnsi="Tahoma" w:cs="Tahoma"/>
          <w:lang w:eastAsia="cs-CZ"/>
        </w:rPr>
        <w:t>,</w:t>
      </w:r>
      <w:r w:rsidRPr="00D8260D">
        <w:rPr>
          <w:rFonts w:ascii="Tahoma" w:hAnsi="Tahoma" w:cs="Tahoma"/>
          <w:lang w:eastAsia="cs-CZ"/>
        </w:rPr>
        <w:t xml:space="preserve"> tímto v souladu </w:t>
      </w:r>
      <w:r w:rsidR="00301541">
        <w:rPr>
          <w:rFonts w:ascii="Tahoma" w:hAnsi="Tahoma" w:cs="Tahoma"/>
          <w:lang w:eastAsia="cs-CZ"/>
        </w:rPr>
        <w:t>se zákonem</w:t>
      </w:r>
      <w:r w:rsidRPr="00D8260D">
        <w:rPr>
          <w:rFonts w:ascii="Tahoma" w:hAnsi="Tahoma" w:cs="Tahoma"/>
          <w:lang w:eastAsia="cs-CZ"/>
        </w:rPr>
        <w:t xml:space="preserve"> č. 134/2016 Sb., </w:t>
      </w:r>
      <w:r w:rsidR="00BD1E99" w:rsidRPr="00D8260D">
        <w:rPr>
          <w:rFonts w:ascii="Tahoma" w:hAnsi="Tahoma" w:cs="Tahoma"/>
        </w:rPr>
        <w:t>o zadávání veřejných zakázek, ve znění pozdějších předpisů (dále jen „</w:t>
      </w:r>
      <w:r w:rsidR="00BD1E99" w:rsidRPr="00D8260D">
        <w:rPr>
          <w:rFonts w:ascii="Tahoma" w:hAnsi="Tahoma" w:cs="Tahoma"/>
          <w:b/>
          <w:i/>
        </w:rPr>
        <w:t>zákon</w:t>
      </w:r>
      <w:r w:rsidR="00BD1E99" w:rsidRPr="00D8260D">
        <w:rPr>
          <w:rFonts w:ascii="Tahoma" w:hAnsi="Tahoma" w:cs="Tahoma"/>
        </w:rPr>
        <w:t>“),</w:t>
      </w:r>
      <w:r w:rsidR="0002066F" w:rsidRPr="00D8260D">
        <w:rPr>
          <w:rFonts w:ascii="Tahoma" w:hAnsi="Tahoma" w:cs="Tahoma"/>
          <w:lang w:eastAsia="cs-CZ"/>
        </w:rPr>
        <w:t xml:space="preserve"> čestně prohlašuje, že splňuje </w:t>
      </w:r>
      <w:r w:rsidR="007A772B">
        <w:rPr>
          <w:rFonts w:ascii="Tahoma" w:hAnsi="Tahoma" w:cs="Tahoma"/>
          <w:lang w:eastAsia="cs-CZ"/>
        </w:rPr>
        <w:t xml:space="preserve">další </w:t>
      </w:r>
      <w:r w:rsidR="0002066F" w:rsidRPr="00D8260D">
        <w:rPr>
          <w:rFonts w:ascii="Tahoma" w:hAnsi="Tahoma" w:cs="Tahoma"/>
          <w:lang w:eastAsia="cs-CZ"/>
        </w:rPr>
        <w:t xml:space="preserve">podmínky </w:t>
      </w:r>
      <w:r w:rsidR="007A772B">
        <w:rPr>
          <w:rFonts w:ascii="Tahoma" w:hAnsi="Tahoma" w:cs="Tahoma"/>
          <w:lang w:eastAsia="cs-CZ"/>
        </w:rPr>
        <w:t xml:space="preserve">účasti </w:t>
      </w:r>
      <w:r w:rsidR="00F61292">
        <w:rPr>
          <w:rFonts w:ascii="Tahoma" w:hAnsi="Tahoma" w:cs="Tahoma"/>
          <w:lang w:eastAsia="cs-CZ"/>
        </w:rPr>
        <w:t>podle odst. 7.1 kvalifikační dokumentace</w:t>
      </w:r>
      <w:r w:rsidR="006A2B9B">
        <w:rPr>
          <w:rFonts w:ascii="Tahoma" w:hAnsi="Tahoma" w:cs="Tahoma"/>
          <w:lang w:eastAsia="cs-CZ"/>
        </w:rPr>
        <w:t xml:space="preserve"> </w:t>
      </w:r>
      <w:r w:rsidR="00EC67F8">
        <w:rPr>
          <w:rFonts w:ascii="Tahoma" w:hAnsi="Tahoma" w:cs="Tahoma"/>
          <w:lang w:eastAsia="cs-CZ"/>
        </w:rPr>
        <w:t xml:space="preserve">na neexistenci střetu zájmů </w:t>
      </w:r>
      <w:r w:rsidR="000B795B" w:rsidRPr="00D8260D">
        <w:rPr>
          <w:rFonts w:ascii="Tahoma" w:hAnsi="Tahoma" w:cs="Tahoma"/>
          <w:lang w:eastAsia="cs-CZ"/>
        </w:rPr>
        <w:t>, tj. že</w:t>
      </w:r>
      <w:r w:rsidR="00CB786E" w:rsidRPr="00D8260D">
        <w:rPr>
          <w:rFonts w:ascii="Tahoma" w:hAnsi="Tahoma" w:cs="Tahoma"/>
          <w:lang w:eastAsia="cs-CZ"/>
        </w:rPr>
        <w:t>:</w:t>
      </w:r>
    </w:p>
    <w:p w14:paraId="4A6C8E5A" w14:textId="77777777" w:rsidR="005B3EDF" w:rsidRPr="00AE5500" w:rsidRDefault="005B3EDF" w:rsidP="00AE5500">
      <w:pPr>
        <w:pStyle w:val="3seznam"/>
        <w:rPr>
          <w:rFonts w:ascii="Tahoma" w:hAnsi="Tahoma" w:cs="Tahoma"/>
        </w:rPr>
      </w:pPr>
      <w:r w:rsidRPr="00AE5500">
        <w:rPr>
          <w:rFonts w:ascii="Tahoma" w:hAnsi="Tahoma" w:cs="Tahoma"/>
        </w:rPr>
        <w:t>účastník zadávacího řízení není v zadávacím řízení ani v řízení jednotlivé veřejné zakázky zadávané v zavedeném DNS ovlivněn přímo ani nepřímo střetem zájmů ve vztahu k zadavateli ani k subjektům podílejícím se na přípravě či vedení tohoto řízení, jakož i že nemá žádné zvláštní spojení s těmito osobami (např. majetkové, personální aj. obdobné);</w:t>
      </w:r>
    </w:p>
    <w:p w14:paraId="419DF500" w14:textId="45CDBDEB" w:rsidR="005B3EDF" w:rsidRPr="00AE5500" w:rsidRDefault="00546DFB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</w:rPr>
        <w:t xml:space="preserve">účastník zadávacího řízení </w:t>
      </w:r>
      <w:r w:rsidR="005B3EDF" w:rsidRPr="00AE5500">
        <w:rPr>
          <w:rFonts w:ascii="Tahoma" w:hAnsi="Tahoma" w:cs="Tahoma"/>
          <w:b/>
        </w:rPr>
        <w:t>není</w:t>
      </w:r>
      <w:r w:rsidR="005B3EDF" w:rsidRPr="00AE5500">
        <w:rPr>
          <w:rFonts w:ascii="Tahoma" w:hAnsi="Tahoma"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3CCE6D3" w14:textId="363262BC" w:rsidR="005B3EDF" w:rsidRPr="00AE5500" w:rsidRDefault="005B3EDF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  <w:color w:val="000000"/>
          <w:shd w:val="clear" w:color="auto" w:fill="FFFFFF"/>
        </w:rPr>
        <w:t>poddodavatel, prostřednictvím kterého dodavatel</w:t>
      </w:r>
      <w:r w:rsidR="00546DFB" w:rsidRPr="00AE5500">
        <w:rPr>
          <w:rFonts w:ascii="Tahoma" w:hAnsi="Tahoma" w:cs="Tahoma"/>
          <w:color w:val="000000"/>
          <w:shd w:val="clear" w:color="auto" w:fill="FFFFFF"/>
        </w:rPr>
        <w:t xml:space="preserve"> (</w:t>
      </w:r>
      <w:r w:rsidR="00546DFB" w:rsidRPr="00AE5500">
        <w:rPr>
          <w:rFonts w:ascii="Tahoma" w:hAnsi="Tahoma" w:cs="Tahoma"/>
        </w:rPr>
        <w:t xml:space="preserve">účastník zadávacího </w:t>
      </w:r>
      <w:proofErr w:type="gramStart"/>
      <w:r w:rsidR="00546DFB" w:rsidRPr="00AE5500">
        <w:rPr>
          <w:rFonts w:ascii="Tahoma" w:hAnsi="Tahoma" w:cs="Tahoma"/>
        </w:rPr>
        <w:t>řízení</w:t>
      </w:r>
      <w:r w:rsidR="00546DFB" w:rsidRPr="00AE5500">
        <w:rPr>
          <w:rFonts w:ascii="Tahoma" w:hAnsi="Tahoma" w:cs="Tahoma"/>
        </w:rPr>
        <w:t xml:space="preserve">) </w:t>
      </w:r>
      <w:r w:rsidRPr="00AE5500">
        <w:rPr>
          <w:rFonts w:ascii="Tahoma" w:hAnsi="Tahoma" w:cs="Tahoma"/>
          <w:color w:val="000000"/>
          <w:shd w:val="clear" w:color="auto" w:fill="FFFFFF"/>
        </w:rPr>
        <w:t xml:space="preserve"> prokazuje</w:t>
      </w:r>
      <w:proofErr w:type="gramEnd"/>
      <w:r w:rsidRPr="00AE5500">
        <w:rPr>
          <w:rFonts w:ascii="Tahoma" w:hAnsi="Tahoma" w:cs="Tahoma"/>
          <w:color w:val="000000"/>
          <w:shd w:val="clear" w:color="auto" w:fill="FFFFFF"/>
        </w:rPr>
        <w:t xml:space="preserve"> kvalifikaci (existuje-li takový), </w:t>
      </w:r>
      <w:r w:rsidRPr="00AE5500">
        <w:rPr>
          <w:rFonts w:ascii="Tahoma" w:hAnsi="Tahoma" w:cs="Tahoma"/>
          <w:b/>
          <w:color w:val="000000"/>
          <w:shd w:val="clear" w:color="auto" w:fill="FFFFFF"/>
        </w:rPr>
        <w:t>není</w:t>
      </w:r>
      <w:r w:rsidRPr="00AE5500">
        <w:rPr>
          <w:rFonts w:ascii="Tahoma" w:hAnsi="Tahoma"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6C02716" w14:textId="4DFAFB6A" w:rsidR="005B3EDF" w:rsidRPr="00AE5500" w:rsidRDefault="00546DFB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</w:rPr>
        <w:t xml:space="preserve">účastník zadávacího řízení </w:t>
      </w:r>
      <w:r w:rsidR="005B3EDF" w:rsidRPr="00AE5500">
        <w:rPr>
          <w:rFonts w:ascii="Tahoma" w:hAnsi="Tahoma" w:cs="Tahoma"/>
        </w:rPr>
        <w:t xml:space="preserve">odpovídá za to, že on sám ani žádný z jeho poddodavatelů </w:t>
      </w:r>
      <w:r w:rsidR="005B3EDF" w:rsidRPr="00AE5500">
        <w:rPr>
          <w:rFonts w:ascii="Tahoma" w:hAnsi="Tahoma" w:cs="Tahoma"/>
          <w:b/>
        </w:rPr>
        <w:t>není</w:t>
      </w:r>
      <w:r w:rsidR="005B3EDF" w:rsidRPr="00AE5500">
        <w:rPr>
          <w:rFonts w:ascii="Tahoma" w:hAnsi="Tahoma" w:cs="Tahoma"/>
        </w:rPr>
        <w:t xml:space="preserve"> po celou dobu trvání dynamického nákupního systému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3EDF" w:rsidRPr="00AE5500">
        <w:rPr>
          <w:rFonts w:ascii="Tahoma" w:hAnsi="Tahoma" w:cs="Tahoma"/>
        </w:rPr>
        <w:t>ii</w:t>
      </w:r>
      <w:proofErr w:type="spellEnd"/>
      <w:r w:rsidR="005B3EDF" w:rsidRPr="00AE5500">
        <w:rPr>
          <w:rFonts w:ascii="Tahoma" w:hAnsi="Tahoma" w:cs="Tahoma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3EDF" w:rsidRPr="00AE5500">
        <w:rPr>
          <w:rFonts w:ascii="Tahoma" w:hAnsi="Tahoma" w:cs="Tahoma"/>
        </w:rPr>
        <w:t>iii</w:t>
      </w:r>
      <w:proofErr w:type="spellEnd"/>
      <w:r w:rsidR="005B3EDF" w:rsidRPr="00AE5500">
        <w:rPr>
          <w:rFonts w:ascii="Tahoma" w:hAnsi="Tahoma" w:cs="Tahoma"/>
        </w:rPr>
        <w:t xml:space="preserve">) fyzickou či právnickou osobou, subjektem nebo orgánem, na který se vztahují podmínky nařízení Rady (EU) 2022/576 ze dne 8. dubna 2022, kterým se </w:t>
      </w:r>
      <w:r w:rsidR="005B3EDF" w:rsidRPr="00AE5500">
        <w:rPr>
          <w:rFonts w:ascii="Tahoma" w:hAnsi="Tahoma" w:cs="Tahoma"/>
        </w:rPr>
        <w:lastRenderedPageBreak/>
        <w:t>mění nařízení (EU) č. 833/2014 o omezujících opatřeních vzhledem k činnostem Ruska destabilizujícím situaci na Ukrajině, v platném znění;</w:t>
      </w:r>
    </w:p>
    <w:p w14:paraId="54A84930" w14:textId="308BE534" w:rsidR="005B3EDF" w:rsidRPr="00AE5500" w:rsidRDefault="005B3EDF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</w:rPr>
        <w:t xml:space="preserve">žádné finanční prostředky, které </w:t>
      </w:r>
      <w:r w:rsidR="00546DFB" w:rsidRPr="00AE5500">
        <w:rPr>
          <w:rFonts w:ascii="Tahoma" w:hAnsi="Tahoma" w:cs="Tahoma"/>
        </w:rPr>
        <w:t xml:space="preserve">účastník zadávacího řízení </w:t>
      </w:r>
      <w:r w:rsidRPr="00AE5500">
        <w:rPr>
          <w:rFonts w:ascii="Tahoma" w:hAnsi="Tahoma" w:cs="Tahoma"/>
        </w:rPr>
        <w:t xml:space="preserve">obdrží za plnění kterékoliv veřejné zakázky zadávané v zavedeném dynamickém nákupním systému, přímo ani nepřímo </w:t>
      </w:r>
      <w:r w:rsidRPr="00AE5500">
        <w:rPr>
          <w:rFonts w:ascii="Tahoma" w:hAnsi="Tahoma" w:cs="Tahoma"/>
          <w:b/>
        </w:rPr>
        <w:t>nezpřístupní</w:t>
      </w:r>
      <w:r w:rsidRPr="00AE5500">
        <w:rPr>
          <w:rFonts w:ascii="Tahoma" w:hAnsi="Tahoma"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AE5500">
        <w:rPr>
          <w:rFonts w:ascii="Tahoma" w:hAnsi="Tahoma" w:cs="Tahoma"/>
        </w:rPr>
        <w:t>ii</w:t>
      </w:r>
      <w:proofErr w:type="spellEnd"/>
      <w:r w:rsidRPr="00AE5500">
        <w:rPr>
          <w:rFonts w:ascii="Tahoma" w:hAnsi="Tahoma" w:cs="Tahoma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AE5500">
        <w:rPr>
          <w:rFonts w:ascii="Tahoma" w:hAnsi="Tahoma" w:cs="Tahoma"/>
        </w:rPr>
        <w:t>iii</w:t>
      </w:r>
      <w:proofErr w:type="spellEnd"/>
      <w:r w:rsidRPr="00AE5500">
        <w:rPr>
          <w:rFonts w:ascii="Tahoma" w:hAnsi="Tahoma" w:cs="Tahoma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70C9A3E" w14:textId="77777777" w:rsidR="005B3EDF" w:rsidRPr="00AE5500" w:rsidRDefault="005B3EDF" w:rsidP="005B3EDF">
      <w:pPr>
        <w:pStyle w:val="3seznam"/>
        <w:ind w:left="786"/>
        <w:rPr>
          <w:rFonts w:ascii="Tahoma" w:hAnsi="Tahoma" w:cs="Tahoma"/>
          <w:iCs/>
          <w:color w:val="000000"/>
        </w:rPr>
      </w:pPr>
      <w:r w:rsidRPr="00AE5500">
        <w:rPr>
          <w:rFonts w:ascii="Tahoma" w:hAnsi="Tahoma"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</w:t>
      </w:r>
      <w:proofErr w:type="spellStart"/>
      <w:r w:rsidRPr="00AE5500">
        <w:rPr>
          <w:rFonts w:ascii="Tahoma" w:hAnsi="Tahoma" w:cs="Tahoma"/>
          <w:iCs/>
          <w:color w:val="000000"/>
        </w:rPr>
        <w:t>ii</w:t>
      </w:r>
      <w:proofErr w:type="spellEnd"/>
      <w:r w:rsidRPr="00AE5500">
        <w:rPr>
          <w:rFonts w:ascii="Tahoma" w:hAnsi="Tahoma" w:cs="Tahoma"/>
          <w:iCs/>
          <w:color w:val="000000"/>
        </w:rPr>
        <w:t>) kterákoli z osob, jejichž kapacity bude dodavatel využívat, a to v rozsahu více než 10 % nabídkové ceny,</w:t>
      </w:r>
    </w:p>
    <w:p w14:paraId="19861444" w14:textId="77777777" w:rsidR="005B3EDF" w:rsidRPr="00AE5500" w:rsidRDefault="005B3EDF" w:rsidP="005B3EDF">
      <w:pPr>
        <w:pStyle w:val="podpisra"/>
        <w:numPr>
          <w:ilvl w:val="0"/>
          <w:numId w:val="10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47C44314" w14:textId="77777777" w:rsidR="005B3EDF" w:rsidRPr="00AE5500" w:rsidRDefault="005B3EDF" w:rsidP="005B3EDF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4F4E2FF4" w14:textId="77777777" w:rsidR="005B3EDF" w:rsidRPr="00AE5500" w:rsidRDefault="005B3EDF" w:rsidP="005B3EDF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05928DBE" w14:textId="77777777" w:rsidR="005B3EDF" w:rsidRPr="00AE5500" w:rsidRDefault="005B3EDF" w:rsidP="005B3EDF">
      <w:pPr>
        <w:pStyle w:val="3seznam"/>
        <w:ind w:left="786"/>
        <w:rPr>
          <w:rFonts w:ascii="Tahoma" w:hAnsi="Tahoma" w:cs="Tahoma"/>
        </w:rPr>
      </w:pPr>
      <w:r w:rsidRPr="00AE5500">
        <w:rPr>
          <w:rFonts w:ascii="Tahoma" w:hAnsi="Tahoma" w:cs="Tahoma"/>
          <w:iCs/>
        </w:rPr>
        <w:t>Účastník není v rozporu s mezinárodními sankcemi podle zákona č. 69/2006, o</w:t>
      </w:r>
      <w:r w:rsidRPr="00AE5500">
        <w:rPr>
          <w:rFonts w:ascii="Tahoma" w:hAnsi="Tahoma"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Ukrajině.</w:t>
      </w:r>
    </w:p>
    <w:p w14:paraId="4A4B1281" w14:textId="77777777" w:rsidR="00817B88" w:rsidRPr="00D8260D" w:rsidRDefault="00817B88" w:rsidP="00817B88">
      <w:pPr>
        <w:pStyle w:val="2nesltext"/>
        <w:keepNext/>
        <w:spacing w:before="480"/>
        <w:rPr>
          <w:rFonts w:ascii="Tahoma" w:hAnsi="Tahoma" w:cs="Tahoma"/>
        </w:rPr>
      </w:pPr>
      <w:r w:rsidRPr="00D8260D">
        <w:rPr>
          <w:rFonts w:ascii="Tahoma" w:hAnsi="Tahoma" w:cs="Tahoma"/>
        </w:rPr>
        <w:t xml:space="preserve">V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lang w:bidi="en-US"/>
        </w:rPr>
        <w:t xml:space="preserve"> </w:t>
      </w:r>
      <w:r w:rsidRPr="00D8260D">
        <w:rPr>
          <w:rFonts w:ascii="Tahoma" w:hAnsi="Tahoma" w:cs="Tahoma"/>
        </w:rPr>
        <w:t xml:space="preserve">dne </w: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4A4B1283" w14:textId="1D8B596C" w:rsidR="00817B88" w:rsidRDefault="00817B88" w:rsidP="00817B88">
      <w:pPr>
        <w:pStyle w:val="2nesltext"/>
        <w:keepNext/>
        <w:rPr>
          <w:rFonts w:ascii="Tahoma" w:hAnsi="Tahoma" w:cs="Tahoma"/>
        </w:rPr>
      </w:pPr>
    </w:p>
    <w:p w14:paraId="05F24BA5" w14:textId="77777777" w:rsidR="00D8260D" w:rsidRPr="00D8260D" w:rsidRDefault="00D8260D" w:rsidP="00817B88">
      <w:pPr>
        <w:pStyle w:val="2nesltext"/>
        <w:keepNext/>
        <w:rPr>
          <w:rFonts w:ascii="Tahoma" w:hAnsi="Tahoma" w:cs="Tahoma"/>
        </w:rPr>
      </w:pPr>
    </w:p>
    <w:p w14:paraId="4A4B1284" w14:textId="16E8E84F" w:rsidR="00817B88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bookmarkStart w:id="1" w:name="_Hlk94736076"/>
      <w:r>
        <w:rPr>
          <w:rFonts w:ascii="Tahoma" w:hAnsi="Tahoma" w:cs="Tahoma"/>
        </w:rPr>
        <w:t>______________________________</w:t>
      </w:r>
    </w:p>
    <w:p w14:paraId="6DD9FAF1" w14:textId="77777777" w:rsidR="00D8260D" w:rsidRP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0A85F6FE" w14:textId="77777777" w:rsidR="00D8260D" w:rsidRDefault="00D8260D" w:rsidP="00D8260D">
      <w:pPr>
        <w:pStyle w:val="2nesltext"/>
        <w:keepNext/>
        <w:spacing w:before="0" w:after="0"/>
        <w:jc w:val="right"/>
        <w:rPr>
          <w:rFonts w:ascii="Tahoma" w:hAnsi="Tahoma" w:cs="Tahoma"/>
          <w:i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Pr="00D8260D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  <w:r w:rsidRPr="00D8260D">
        <w:rPr>
          <w:rFonts w:ascii="Tahoma" w:hAnsi="Tahoma" w:cs="Tahoma"/>
          <w:i/>
        </w:rPr>
        <w:t xml:space="preserve"> </w:t>
      </w:r>
    </w:p>
    <w:p w14:paraId="4A4B1285" w14:textId="35C96720" w:rsidR="00817B88" w:rsidRPr="00D8260D" w:rsidRDefault="00817B88" w:rsidP="00D8260D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D8260D">
        <w:rPr>
          <w:rFonts w:ascii="Tahoma" w:hAnsi="Tahoma" w:cs="Tahoma"/>
          <w:i/>
        </w:rPr>
        <w:t>(podpis)</w:t>
      </w:r>
      <w:bookmarkEnd w:id="1"/>
    </w:p>
    <w:sectPr w:rsidR="00817B88" w:rsidRPr="00D8260D" w:rsidSect="006A4311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ABA3" w14:textId="77777777" w:rsidR="00EB1EF5" w:rsidRDefault="00EB1EF5">
      <w:pPr>
        <w:spacing w:after="0" w:line="240" w:lineRule="auto"/>
      </w:pPr>
      <w:r>
        <w:separator/>
      </w:r>
    </w:p>
  </w:endnote>
  <w:endnote w:type="continuationSeparator" w:id="0">
    <w:p w14:paraId="0D1E942E" w14:textId="77777777" w:rsidR="00EB1EF5" w:rsidRDefault="00EB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5547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74970DA" w14:textId="7F940A92" w:rsidR="00D8260D" w:rsidRPr="00D8260D" w:rsidRDefault="00D8260D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260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8260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D8260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260D">
              <w:rPr>
                <w:rFonts w:ascii="Tahoma" w:hAnsi="Tahoma" w:cs="Tahoma"/>
                <w:sz w:val="20"/>
                <w:szCs w:val="20"/>
              </w:rPr>
              <w:t>2</w:t>
            </w:r>
            <w:r w:rsidRPr="00D8260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401D8378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0D28" w14:textId="77777777" w:rsidR="00EB1EF5" w:rsidRDefault="00EB1EF5">
      <w:pPr>
        <w:spacing w:after="0" w:line="240" w:lineRule="auto"/>
      </w:pPr>
      <w:r>
        <w:separator/>
      </w:r>
    </w:p>
  </w:footnote>
  <w:footnote w:type="continuationSeparator" w:id="0">
    <w:p w14:paraId="50C0CED7" w14:textId="77777777" w:rsidR="00EB1EF5" w:rsidRDefault="00EB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134E028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85" w:hanging="360"/>
      </w:p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0835216">
    <w:abstractNumId w:val="1"/>
  </w:num>
  <w:num w:numId="2" w16cid:durableId="230120651">
    <w:abstractNumId w:val="1"/>
  </w:num>
  <w:num w:numId="3" w16cid:durableId="2028486001">
    <w:abstractNumId w:val="2"/>
  </w:num>
  <w:num w:numId="4" w16cid:durableId="1500151443">
    <w:abstractNumId w:val="0"/>
  </w:num>
  <w:num w:numId="5" w16cid:durableId="892084961">
    <w:abstractNumId w:val="4"/>
  </w:num>
  <w:num w:numId="6" w16cid:durableId="409352282">
    <w:abstractNumId w:val="1"/>
  </w:num>
  <w:num w:numId="7" w16cid:durableId="1228104323">
    <w:abstractNumId w:val="1"/>
  </w:num>
  <w:num w:numId="8" w16cid:durableId="395208022">
    <w:abstractNumId w:val="1"/>
  </w:num>
  <w:num w:numId="9" w16cid:durableId="1821770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56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B795B"/>
    <w:rsid w:val="000D70F6"/>
    <w:rsid w:val="00111B83"/>
    <w:rsid w:val="00187880"/>
    <w:rsid w:val="001A2045"/>
    <w:rsid w:val="001A3F93"/>
    <w:rsid w:val="0023599A"/>
    <w:rsid w:val="002512C7"/>
    <w:rsid w:val="00287B22"/>
    <w:rsid w:val="002C6FE7"/>
    <w:rsid w:val="00301541"/>
    <w:rsid w:val="00311580"/>
    <w:rsid w:val="00335412"/>
    <w:rsid w:val="003445D3"/>
    <w:rsid w:val="00344F91"/>
    <w:rsid w:val="003F1A44"/>
    <w:rsid w:val="00402F86"/>
    <w:rsid w:val="00450ECC"/>
    <w:rsid w:val="004576F9"/>
    <w:rsid w:val="00492BA9"/>
    <w:rsid w:val="004B79BA"/>
    <w:rsid w:val="00522D8B"/>
    <w:rsid w:val="005429C1"/>
    <w:rsid w:val="00546DFB"/>
    <w:rsid w:val="00546F72"/>
    <w:rsid w:val="00571956"/>
    <w:rsid w:val="00576B69"/>
    <w:rsid w:val="0058174F"/>
    <w:rsid w:val="005848AB"/>
    <w:rsid w:val="005B3EDF"/>
    <w:rsid w:val="006A2B9B"/>
    <w:rsid w:val="006A4311"/>
    <w:rsid w:val="006B0C5A"/>
    <w:rsid w:val="0074659A"/>
    <w:rsid w:val="00770587"/>
    <w:rsid w:val="007A772B"/>
    <w:rsid w:val="007D10AF"/>
    <w:rsid w:val="007F7544"/>
    <w:rsid w:val="008014CD"/>
    <w:rsid w:val="00817B88"/>
    <w:rsid w:val="0082042E"/>
    <w:rsid w:val="008C27A2"/>
    <w:rsid w:val="00955642"/>
    <w:rsid w:val="009630D4"/>
    <w:rsid w:val="00991DEA"/>
    <w:rsid w:val="009A2074"/>
    <w:rsid w:val="009B688D"/>
    <w:rsid w:val="00A13ADC"/>
    <w:rsid w:val="00A56806"/>
    <w:rsid w:val="00A723D1"/>
    <w:rsid w:val="00AC0F20"/>
    <w:rsid w:val="00AC40D2"/>
    <w:rsid w:val="00AE5500"/>
    <w:rsid w:val="00B154DB"/>
    <w:rsid w:val="00B2212E"/>
    <w:rsid w:val="00B45B9B"/>
    <w:rsid w:val="00B75AEA"/>
    <w:rsid w:val="00B935D1"/>
    <w:rsid w:val="00BA2ADE"/>
    <w:rsid w:val="00BB024C"/>
    <w:rsid w:val="00BB1DE2"/>
    <w:rsid w:val="00BC3A87"/>
    <w:rsid w:val="00BD1E99"/>
    <w:rsid w:val="00BE5392"/>
    <w:rsid w:val="00C348F2"/>
    <w:rsid w:val="00C43005"/>
    <w:rsid w:val="00C95A5F"/>
    <w:rsid w:val="00C96FC6"/>
    <w:rsid w:val="00CB5BC7"/>
    <w:rsid w:val="00CB786E"/>
    <w:rsid w:val="00CC1F0C"/>
    <w:rsid w:val="00CD2892"/>
    <w:rsid w:val="00D35BE4"/>
    <w:rsid w:val="00D4318E"/>
    <w:rsid w:val="00D639A8"/>
    <w:rsid w:val="00D8260D"/>
    <w:rsid w:val="00DA374C"/>
    <w:rsid w:val="00DB4838"/>
    <w:rsid w:val="00E337BD"/>
    <w:rsid w:val="00E374DC"/>
    <w:rsid w:val="00E85837"/>
    <w:rsid w:val="00EB1EF5"/>
    <w:rsid w:val="00EC67F8"/>
    <w:rsid w:val="00F06188"/>
    <w:rsid w:val="00F30A16"/>
    <w:rsid w:val="00F4232A"/>
    <w:rsid w:val="00F55083"/>
    <w:rsid w:val="00F61292"/>
    <w:rsid w:val="00F6612A"/>
    <w:rsid w:val="00F83730"/>
    <w:rsid w:val="00F9517F"/>
    <w:rsid w:val="00FC3119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1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customStyle="1" w:styleId="podpisra">
    <w:name w:val="podpis čára"/>
    <w:basedOn w:val="Normln"/>
    <w:rsid w:val="005B3EDF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2022-02-22T22:40:00Z</dcterms:created>
  <dcterms:modified xsi:type="dcterms:W3CDTF">2025-08-02T20:49:00Z</dcterms:modified>
</cp:coreProperties>
</file>