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6CE55B19" w:rsidR="004F4210" w:rsidRPr="003C02CF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3C02CF">
        <w:rPr>
          <w:rFonts w:cs="Tahoma"/>
          <w:b/>
          <w:sz w:val="28"/>
        </w:rPr>
        <w:t>PŘÍLOHA Č. 6 DOKUMENTACE ZADÁVACÍHO ŘÍZENÍ</w:t>
      </w:r>
    </w:p>
    <w:p w14:paraId="00427D8F" w14:textId="22C853C8" w:rsidR="004F4210" w:rsidRPr="00040F29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3C02CF">
        <w:rPr>
          <w:rFonts w:cs="Tahoma"/>
          <w:b/>
          <w:sz w:val="28"/>
        </w:rPr>
        <w:t>PŘEDLOHA SEZNAMU</w:t>
      </w:r>
      <w:r w:rsidRPr="00040F29">
        <w:rPr>
          <w:rFonts w:cs="Tahoma"/>
          <w:b/>
          <w:sz w:val="28"/>
        </w:rPr>
        <w:t xml:space="preserve"> PODDODAVATELŮ</w:t>
      </w:r>
    </w:p>
    <w:p w14:paraId="149C1657" w14:textId="03B95763" w:rsidR="00840EB9" w:rsidRPr="00040F29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 xml:space="preserve">Pokyn pro </w:t>
      </w:r>
      <w:r w:rsidR="00E76C8E" w:rsidRPr="00040F29">
        <w:rPr>
          <w:rFonts w:cs="Tahoma"/>
          <w:b/>
          <w:i/>
          <w:sz w:val="22"/>
          <w:szCs w:val="22"/>
        </w:rPr>
        <w:t>účastníka zadávacího řízení</w:t>
      </w:r>
      <w:r w:rsidRPr="00040F29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0A463772" w:rsidR="00511B5E" w:rsidRPr="00040F29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CA04F3">
        <w:rPr>
          <w:rFonts w:cs="Tahoma"/>
          <w:b/>
          <w:sz w:val="22"/>
          <w:szCs w:val="22"/>
          <w:lang w:bidi="en-US"/>
        </w:rPr>
        <w:t>Rámcová dohoda – Nafta pro LMB 2026-2030</w:t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na</w:t>
      </w:r>
      <w:r w:rsidR="007844E9" w:rsidRPr="00040F29">
        <w:rPr>
          <w:rFonts w:cs="Tahoma"/>
          <w:sz w:val="22"/>
          <w:szCs w:val="22"/>
        </w:rPr>
        <w:t xml:space="preserve"> plnění veřejné zakázky </w:t>
      </w:r>
      <w:r w:rsidRPr="00040F29">
        <w:rPr>
          <w:rFonts w:cs="Tahoma"/>
          <w:sz w:val="22"/>
          <w:szCs w:val="22"/>
        </w:rPr>
        <w:t>se budou podílet tito poddodavatelé</w:t>
      </w:r>
      <w:r w:rsidR="007844E9" w:rsidRPr="00040F29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BB0607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41212E41" w:rsidR="004F4210" w:rsidRPr="00040F29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CA04F3">
        <w:rPr>
          <w:rFonts w:cs="Tahoma"/>
          <w:b/>
          <w:sz w:val="22"/>
          <w:szCs w:val="22"/>
          <w:lang w:bidi="en-US"/>
        </w:rPr>
        <w:t>Rámcová dohoda – Nafta pro LMB 2026-2030</w:t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</w:t>
      </w:r>
      <w:r w:rsidRPr="00040F29">
        <w:rPr>
          <w:rFonts w:cs="Tahoma"/>
          <w:sz w:val="22"/>
          <w:szCs w:val="22"/>
        </w:rPr>
        <w:lastRenderedPageBreak/>
        <w:t>prohlašuje, že mu nejsou známi poddodavatelé, jež se budou podílet na plnění veřejné zakázky</w:t>
      </w:r>
      <w:r w:rsidR="008A30D0" w:rsidRPr="00040F29">
        <w:rPr>
          <w:rFonts w:cs="Tahoma"/>
          <w:sz w:val="22"/>
          <w:szCs w:val="22"/>
        </w:rPr>
        <w:t>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7380" w14:textId="77777777" w:rsidR="00092194" w:rsidRDefault="00092194">
      <w:r>
        <w:separator/>
      </w:r>
    </w:p>
  </w:endnote>
  <w:endnote w:type="continuationSeparator" w:id="0">
    <w:p w14:paraId="0F506453" w14:textId="77777777" w:rsidR="00092194" w:rsidRDefault="0009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9AC9" w14:textId="77777777" w:rsidR="00092194" w:rsidRDefault="00092194">
      <w:r>
        <w:separator/>
      </w:r>
    </w:p>
  </w:footnote>
  <w:footnote w:type="continuationSeparator" w:id="0">
    <w:p w14:paraId="5508B4C6" w14:textId="77777777" w:rsidR="00092194" w:rsidRDefault="00092194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194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E7F09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02CF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364E6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A04F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2025-11-21T01:53:00Z</dcterms:modified>
</cp:coreProperties>
</file>